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32B5" w14:textId="77777777" w:rsidR="00F04B5B" w:rsidRDefault="00167437">
      <w:pPr>
        <w:spacing w:after="0" w:line="240" w:lineRule="auto"/>
        <w:rPr>
          <w:rFonts w:ascii="Comic Sans MS" w:eastAsia="Comic Sans MS" w:hAnsi="Comic Sans MS" w:cs="Comic Sans MS"/>
          <w:b/>
          <w:sz w:val="50"/>
          <w:szCs w:val="50"/>
        </w:rPr>
      </w:pPr>
      <w:r>
        <w:rPr>
          <w:rFonts w:ascii="Comic Sans MS" w:eastAsia="Comic Sans MS" w:hAnsi="Comic Sans MS" w:cs="Comic Sans MS"/>
          <w:b/>
          <w:sz w:val="50"/>
          <w:szCs w:val="50"/>
        </w:rPr>
        <w:t>New Holland-Middletown ESD #88</w:t>
      </w:r>
    </w:p>
    <w:p w14:paraId="06472133" w14:textId="77777777" w:rsidR="00F04B5B" w:rsidRDefault="0016743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50"/>
          <w:szCs w:val="50"/>
        </w:rPr>
      </w:pPr>
      <w:r>
        <w:rPr>
          <w:rFonts w:ascii="Comic Sans MS" w:eastAsia="Comic Sans MS" w:hAnsi="Comic Sans MS" w:cs="Comic Sans MS"/>
          <w:b/>
          <w:sz w:val="50"/>
          <w:szCs w:val="50"/>
        </w:rPr>
        <w:t>Accelerated Plan</w:t>
      </w:r>
    </w:p>
    <w:p w14:paraId="71D15407" w14:textId="77777777" w:rsidR="00F04B5B" w:rsidRDefault="00F04B5B">
      <w:pPr>
        <w:pBdr>
          <w:bottom w:val="single" w:sz="12" w:space="1" w:color="000000"/>
        </w:pBdr>
        <w:spacing w:after="0" w:line="240" w:lineRule="auto"/>
        <w:jc w:val="center"/>
        <w:rPr>
          <w:rFonts w:ascii="Comic Sans MS" w:eastAsia="Comic Sans MS" w:hAnsi="Comic Sans MS" w:cs="Comic Sans MS"/>
          <w:sz w:val="50"/>
          <w:szCs w:val="50"/>
        </w:rPr>
      </w:pPr>
    </w:p>
    <w:p w14:paraId="06917AB8" w14:textId="77777777" w:rsidR="00F04B5B" w:rsidRDefault="00167437">
      <w:pPr>
        <w:rPr>
          <w:rFonts w:ascii="Comic Sans MS" w:eastAsia="Comic Sans MS" w:hAnsi="Comic Sans MS" w:cs="Comic Sans MS"/>
          <w:sz w:val="50"/>
          <w:szCs w:val="50"/>
        </w:rPr>
      </w:pPr>
      <w:r>
        <w:rPr>
          <w:rFonts w:ascii="Comic Sans MS" w:eastAsia="Comic Sans MS" w:hAnsi="Comic Sans MS" w:cs="Comic Sans MS"/>
          <w:sz w:val="50"/>
          <w:szCs w:val="50"/>
        </w:rPr>
        <w:t xml:space="preserve">   </w:t>
      </w:r>
      <w:r>
        <w:rPr>
          <w:rFonts w:ascii="Comic Sans MS" w:eastAsia="Comic Sans MS" w:hAnsi="Comic Sans MS" w:cs="Comic Sans MS"/>
          <w:noProof/>
          <w:sz w:val="50"/>
          <w:szCs w:val="50"/>
        </w:rPr>
        <w:drawing>
          <wp:inline distT="114300" distB="114300" distL="114300" distR="114300" wp14:anchorId="5C52A573" wp14:editId="69A22410">
            <wp:extent cx="5434013" cy="50522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013" cy="5052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1DA728" w14:textId="77777777" w:rsidR="00F04B5B" w:rsidRDefault="00F04B5B">
      <w:pPr>
        <w:rPr>
          <w:rFonts w:ascii="Comic Sans MS" w:eastAsia="Comic Sans MS" w:hAnsi="Comic Sans MS" w:cs="Comic Sans MS"/>
          <w:sz w:val="50"/>
          <w:szCs w:val="50"/>
        </w:rPr>
      </w:pPr>
    </w:p>
    <w:p w14:paraId="0AA279DC" w14:textId="77777777" w:rsidR="00F04B5B" w:rsidRDefault="00167437">
      <w:pPr>
        <w:tabs>
          <w:tab w:val="left" w:pos="930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rFonts w:ascii="Architects Daughter" w:eastAsia="Architects Daughter" w:hAnsi="Architects Daughter" w:cs="Architects Daughter"/>
          <w:b/>
          <w:sz w:val="60"/>
          <w:szCs w:val="60"/>
        </w:rPr>
        <w:t>HOME OF THE MUSTANGS</w:t>
      </w:r>
    </w:p>
    <w:p w14:paraId="1629959C" w14:textId="77777777" w:rsidR="00F04B5B" w:rsidRDefault="00F04B5B">
      <w:pPr>
        <w:tabs>
          <w:tab w:val="left" w:pos="930"/>
          <w:tab w:val="center" w:pos="4680"/>
        </w:tabs>
        <w:spacing w:after="0" w:line="240" w:lineRule="auto"/>
        <w:rPr>
          <w:b/>
          <w:sz w:val="36"/>
          <w:szCs w:val="36"/>
        </w:rPr>
      </w:pPr>
    </w:p>
    <w:p w14:paraId="545D4D59" w14:textId="77777777" w:rsidR="00F04B5B" w:rsidRDefault="00167437">
      <w:pPr>
        <w:pBdr>
          <w:bottom w:val="single" w:sz="12" w:space="1" w:color="000000"/>
        </w:pBdr>
        <w:tabs>
          <w:tab w:val="left" w:pos="4020"/>
        </w:tabs>
        <w:jc w:val="center"/>
        <w:rPr>
          <w:rFonts w:ascii="Architects Daughter" w:eastAsia="Architects Daughter" w:hAnsi="Architects Daughter" w:cs="Architects Daughter"/>
          <w:b/>
          <w:sz w:val="40"/>
          <w:szCs w:val="40"/>
        </w:rPr>
      </w:pPr>
      <w:r>
        <w:rPr>
          <w:rFonts w:ascii="Architects Daughter" w:eastAsia="Architects Daughter" w:hAnsi="Architects Daughter" w:cs="Architects Daughter"/>
          <w:b/>
          <w:sz w:val="40"/>
          <w:szCs w:val="40"/>
        </w:rPr>
        <w:lastRenderedPageBreak/>
        <w:t>Table of Contents</w:t>
      </w:r>
    </w:p>
    <w:p w14:paraId="1A6D3AB5" w14:textId="77777777" w:rsidR="00F04B5B" w:rsidRDefault="00167437">
      <w:pPr>
        <w:spacing w:line="240" w:lineRule="auto"/>
        <w:rPr>
          <w:rFonts w:ascii="Architects Daughter" w:eastAsia="Architects Daughter" w:hAnsi="Architects Daughter" w:cs="Architects Daughter"/>
          <w:color w:val="000000"/>
        </w:rPr>
      </w:pPr>
      <w:r>
        <w:rPr>
          <w:rFonts w:ascii="Architects Daughter" w:eastAsia="Architects Daughter" w:hAnsi="Architects Daughter" w:cs="Architects Daughter"/>
          <w:b/>
        </w:rPr>
        <w:t>Section I: Introduction………………………………………………………………………………………</w:t>
      </w:r>
      <w:proofErr w:type="gramStart"/>
      <w:r>
        <w:rPr>
          <w:rFonts w:ascii="Architects Daughter" w:eastAsia="Architects Daughter" w:hAnsi="Architects Daughter" w:cs="Architects Daughter"/>
          <w:b/>
        </w:rPr>
        <w:t>…..</w:t>
      </w:r>
      <w:proofErr w:type="gramEnd"/>
      <w:r>
        <w:rPr>
          <w:rFonts w:ascii="Architects Daughter" w:eastAsia="Architects Daughter" w:hAnsi="Architects Daughter" w:cs="Architects Daughter"/>
          <w:b/>
        </w:rPr>
        <w:t xml:space="preserve">……….page 3 </w:t>
      </w:r>
    </w:p>
    <w:p w14:paraId="6B71F064" w14:textId="77777777" w:rsidR="00F04B5B" w:rsidRDefault="00167437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  <w:r>
        <w:rPr>
          <w:rFonts w:ascii="Architects Daughter" w:eastAsia="Architects Daughter" w:hAnsi="Architects Daughter" w:cs="Architects Daughter"/>
          <w:b/>
        </w:rPr>
        <w:t>Section II: Purpose……………………………………………………………………………………………………......page 4</w:t>
      </w:r>
    </w:p>
    <w:p w14:paraId="0D2026D7" w14:textId="77777777" w:rsidR="00F04B5B" w:rsidRDefault="00167437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  <w:r>
        <w:rPr>
          <w:rFonts w:ascii="Architects Daughter" w:eastAsia="Architects Daughter" w:hAnsi="Architects Daughter" w:cs="Architects Daughter"/>
          <w:b/>
        </w:rPr>
        <w:tab/>
      </w:r>
    </w:p>
    <w:p w14:paraId="257EB8FC" w14:textId="77777777" w:rsidR="00F04B5B" w:rsidRDefault="00167437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  <w:r>
        <w:rPr>
          <w:rFonts w:ascii="Architects Daughter" w:eastAsia="Architects Daughter" w:hAnsi="Architects Daughter" w:cs="Architects Daughter"/>
          <w:b/>
        </w:rPr>
        <w:t>Section III: Determination………………………………………………………………………………………</w:t>
      </w:r>
      <w:proofErr w:type="gramStart"/>
      <w:r>
        <w:rPr>
          <w:rFonts w:ascii="Architects Daughter" w:eastAsia="Architects Daughter" w:hAnsi="Architects Daughter" w:cs="Architects Daughter"/>
          <w:b/>
        </w:rPr>
        <w:t>…..</w:t>
      </w:r>
      <w:proofErr w:type="gramEnd"/>
      <w:r>
        <w:rPr>
          <w:rFonts w:ascii="Architects Daughter" w:eastAsia="Architects Daughter" w:hAnsi="Architects Daughter" w:cs="Architects Daughter"/>
          <w:b/>
        </w:rPr>
        <w:t>…….…page 5</w:t>
      </w:r>
    </w:p>
    <w:p w14:paraId="098B5BD7" w14:textId="77777777" w:rsidR="00F04B5B" w:rsidRDefault="00167437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  <w:r>
        <w:rPr>
          <w:rFonts w:ascii="Architects Daughter" w:eastAsia="Architects Daughter" w:hAnsi="Architects Daughter" w:cs="Architects Daughter"/>
        </w:rPr>
        <w:tab/>
      </w:r>
    </w:p>
    <w:p w14:paraId="424EF4BD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6A0FC1E3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798E0963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590B18B1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19BF36B7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57A2B9FC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18C5D888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7910A707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0EE4BEA4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7872603B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56E2C2A6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54524706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737BA085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68CA0B5F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2A231B7F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1FE2A4C4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54D7AD92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712AA6FB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0C54EF6F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31723FBB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0703AA93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32B38160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2B770DA7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115387FA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4C944029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6E6E4387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17217BB2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7A9313A2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776521FD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7DD5D5BA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0F75334A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1E3D54F5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31F101E3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05E234DD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5212BC21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33C82085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1F9462B0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1A9AC1A6" w14:textId="77777777" w:rsidR="00F04B5B" w:rsidRDefault="00F04B5B">
      <w:pPr>
        <w:spacing w:after="0" w:line="240" w:lineRule="auto"/>
        <w:rPr>
          <w:rFonts w:ascii="Architects Daughter" w:eastAsia="Architects Daughter" w:hAnsi="Architects Daughter" w:cs="Architects Daughter"/>
          <w:b/>
        </w:rPr>
      </w:pPr>
    </w:p>
    <w:p w14:paraId="3E03AA43" w14:textId="77777777" w:rsidR="00F04B5B" w:rsidRDefault="00F04B5B">
      <w:pPr>
        <w:tabs>
          <w:tab w:val="left" w:pos="930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</w:p>
    <w:p w14:paraId="2DA7A595" w14:textId="77777777" w:rsidR="00F04B5B" w:rsidRDefault="00167437">
      <w:pPr>
        <w:tabs>
          <w:tab w:val="left" w:pos="930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Holland-Middletown ESD #88</w:t>
      </w:r>
    </w:p>
    <w:p w14:paraId="1388056C" w14:textId="77777777" w:rsidR="00F04B5B" w:rsidRDefault="00F04B5B">
      <w:pPr>
        <w:pBdr>
          <w:bottom w:val="single" w:sz="12" w:space="1" w:color="000000"/>
        </w:pBdr>
        <w:spacing w:after="0" w:line="240" w:lineRule="auto"/>
        <w:jc w:val="center"/>
        <w:rPr>
          <w:b/>
          <w:sz w:val="36"/>
          <w:szCs w:val="36"/>
        </w:rPr>
      </w:pPr>
    </w:p>
    <w:p w14:paraId="6444ADDD" w14:textId="77777777" w:rsidR="00F04B5B" w:rsidRDefault="00F04B5B">
      <w:pPr>
        <w:spacing w:after="0" w:line="240" w:lineRule="auto"/>
        <w:jc w:val="center"/>
        <w:rPr>
          <w:b/>
          <w:sz w:val="24"/>
          <w:szCs w:val="24"/>
        </w:rPr>
      </w:pPr>
    </w:p>
    <w:p w14:paraId="39CEE8E1" w14:textId="77777777" w:rsidR="00F04B5B" w:rsidRDefault="00167437">
      <w:pPr>
        <w:spacing w:after="0" w:line="240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color w:val="000000"/>
          <w:sz w:val="28"/>
          <w:szCs w:val="28"/>
        </w:rPr>
        <w:t xml:space="preserve">Section I: Introduction </w:t>
      </w:r>
    </w:p>
    <w:p w14:paraId="51C8C14D" w14:textId="77777777" w:rsidR="00F04B5B" w:rsidRDefault="00F04B5B">
      <w:pPr>
        <w:spacing w:after="160" w:line="259" w:lineRule="auto"/>
        <w:ind w:left="720"/>
      </w:pPr>
    </w:p>
    <w:p w14:paraId="1DAC7E57" w14:textId="77777777" w:rsidR="00F04B5B" w:rsidRDefault="00167437">
      <w:pPr>
        <w:numPr>
          <w:ilvl w:val="0"/>
          <w:numId w:val="4"/>
        </w:numPr>
        <w:spacing w:after="160" w:line="257" w:lineRule="auto"/>
      </w:pPr>
      <w:r>
        <w:t xml:space="preserve"> </w:t>
      </w:r>
      <w:hyperlink r:id="rId8">
        <w:r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The Accelerated Placement Act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 xml:space="preserve"> expands services to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ALL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students, not only those identified as gifted and talented by local policy, who demonstrate high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ability and who may benefit from accelerated placement. The Act requires the development of local policy to identify such students through a fair and equitable decision-making and multiple measure assessment process.</w:t>
      </w:r>
    </w:p>
    <w:p w14:paraId="7D77A180" w14:textId="77777777" w:rsidR="00F04B5B" w:rsidRDefault="00167437">
      <w:pPr>
        <w:numPr>
          <w:ilvl w:val="0"/>
          <w:numId w:val="4"/>
        </w:numPr>
        <w:spacing w:after="160" w:line="257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New Holland </w:t>
      </w:r>
      <w:proofErr w:type="gramStart"/>
      <w:r>
        <w:rPr>
          <w:b/>
          <w:sz w:val="36"/>
          <w:szCs w:val="36"/>
        </w:rPr>
        <w:t xml:space="preserve">Middletown’s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Accelerated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Placement Plan  provides support for  with readily available action steps. Through this plan, NHM has developed systems to identify advanced learners and meet their </w:t>
      </w:r>
      <w:hyperlink r:id="rId9" w:anchor="/docx/viewer/teams/https:~2F~2Fisbe.sharepoint.com~2Fsites~2FCICollaborative~2FShared%20Documents~2FGeneral~2FAccelerated%20Placement%20Documents~2FPersonalized%20Learning%20Plan.docx?threadId=19:5716f4a0c2db453795804a33cc9ce64e@thread.skype&amp;baseUrl=https">
        <w:r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learning needs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>. This process can be d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one through whole grade acceleration and single-subject acceleration. </w:t>
      </w:r>
    </w:p>
    <w:p w14:paraId="717B99CB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2DC7E8F9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69416568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0CDC3587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76FE4159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131DF436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7F2E7F46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35D5A175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5F9FD740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1211929C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473234C7" w14:textId="77777777" w:rsidR="00F04B5B" w:rsidRDefault="00F04B5B">
      <w:pPr>
        <w:spacing w:after="160" w:line="257" w:lineRule="auto"/>
        <w:rPr>
          <w:rFonts w:ascii="Times New Roman" w:eastAsia="Times New Roman" w:hAnsi="Times New Roman" w:cs="Times New Roman"/>
        </w:rPr>
      </w:pPr>
    </w:p>
    <w:p w14:paraId="6C1F826B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i/>
          <w:sz w:val="28"/>
          <w:szCs w:val="28"/>
        </w:rPr>
      </w:pPr>
    </w:p>
    <w:p w14:paraId="0FDB31B1" w14:textId="77777777" w:rsidR="00F04B5B" w:rsidRDefault="00F04B5B">
      <w:pP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14:paraId="670E1FA7" w14:textId="77777777" w:rsidR="00F04B5B" w:rsidRDefault="00167437">
      <w:pPr>
        <w:spacing w:after="0" w:line="240" w:lineRule="auto"/>
        <w:jc w:val="center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 xml:space="preserve">Section II: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Purpose</w:t>
      </w:r>
    </w:p>
    <w:p w14:paraId="23E12708" w14:textId="77777777" w:rsidR="00F04B5B" w:rsidRDefault="00F04B5B">
      <w:pPr>
        <w:spacing w:after="0" w:line="240" w:lineRule="auto"/>
        <w:jc w:val="center"/>
        <w:rPr>
          <w:rFonts w:ascii="Comic Sans MS" w:eastAsia="Comic Sans MS" w:hAnsi="Comic Sans MS" w:cs="Comic Sans MS"/>
          <w:b/>
          <w:i/>
          <w:sz w:val="24"/>
          <w:szCs w:val="24"/>
        </w:rPr>
      </w:pPr>
    </w:p>
    <w:p w14:paraId="0FA31DD3" w14:textId="77777777" w:rsidR="00F04B5B" w:rsidRDefault="0016743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Many children are ready for advancement in one or two areas of development.  Full grade acceleration at a young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age,  may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not be appropriate, however, grade level acceleration may be considered at another point in time. Early access is intended to support </w:t>
      </w:r>
      <w:r>
        <w:rPr>
          <w:rFonts w:ascii="Comic Sans MS" w:eastAsia="Comic Sans MS" w:hAnsi="Comic Sans MS" w:cs="Comic Sans MS"/>
          <w:sz w:val="24"/>
          <w:szCs w:val="24"/>
        </w:rPr>
        <w:t xml:space="preserve">students who are evaluated to be exceptional in aptitude, academics, school readiness and motivation.  Early access is a local decision of the administrative team.  </w:t>
      </w:r>
    </w:p>
    <w:p w14:paraId="7FBBD8CD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47936AB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19332440" w14:textId="77777777" w:rsidR="00F04B5B" w:rsidRDefault="00F04B5B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5A0274D4" w14:textId="77777777" w:rsidR="00F04B5B" w:rsidRDefault="00167437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br/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 xml:space="preserve">Section III: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Process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br/>
      </w:r>
    </w:p>
    <w:p w14:paraId="2B48D118" w14:textId="77777777" w:rsidR="00F04B5B" w:rsidRDefault="0016743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NHM will work collaboratively with parents, educators for evaluation referrals.  </w:t>
      </w:r>
    </w:p>
    <w:p w14:paraId="238A44A9" w14:textId="77777777" w:rsidR="00F04B5B" w:rsidRDefault="00F04B5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A78D10D" w14:textId="77777777" w:rsidR="00F04B5B" w:rsidRDefault="00F04B5B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7F8A867" w14:textId="77777777" w:rsidR="00F04B5B" w:rsidRDefault="00F04B5B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79615899" w14:textId="77777777" w:rsidR="00F04B5B" w:rsidRDefault="00F04B5B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2690D5FA" w14:textId="77777777" w:rsidR="00F04B5B" w:rsidRDefault="0016743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Timeline</w:t>
      </w:r>
    </w:p>
    <w:p w14:paraId="1D6D9CFB" w14:textId="77777777" w:rsidR="00F04B5B" w:rsidRDefault="00167437">
      <w:pPr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Applications for early access are due by April 1 for the next school year.  </w:t>
      </w:r>
    </w:p>
    <w:p w14:paraId="112C15C3" w14:textId="77777777" w:rsidR="00F04B5B" w:rsidRDefault="00167437">
      <w:pPr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Determinations shall be made within 60 days of receiving a child’s portfolio </w:t>
      </w:r>
    </w:p>
    <w:p w14:paraId="634BA5BE" w14:textId="77777777" w:rsidR="00F04B5B" w:rsidRDefault="00167437">
      <w:pPr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stud</w:t>
      </w:r>
      <w:r>
        <w:rPr>
          <w:rFonts w:ascii="Comic Sans MS" w:eastAsia="Comic Sans MS" w:hAnsi="Comic Sans MS" w:cs="Comic Sans MS"/>
          <w:sz w:val="24"/>
          <w:szCs w:val="24"/>
        </w:rPr>
        <w:t>ent shall be age 4 by October 1 for Kindergarten and age 5 by October 1 for first grade.</w:t>
      </w:r>
    </w:p>
    <w:p w14:paraId="682243EF" w14:textId="77777777" w:rsidR="00F04B5B" w:rsidRDefault="00F04B5B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59526D5" w14:textId="77777777" w:rsidR="00F04B5B" w:rsidRDefault="00167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Notifications:</w:t>
      </w:r>
    </w:p>
    <w:p w14:paraId="45FF6849" w14:textId="77777777" w:rsidR="00F04B5B" w:rsidRDefault="00167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Information about criteria for identifying a highly advanced gifted child for early access is deemed appropriate, specific assessments and scores will be used to make final decisions concerning a student.</w:t>
      </w:r>
    </w:p>
    <w:p w14:paraId="7250871E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165C787F" w14:textId="77777777" w:rsidR="00F04B5B" w:rsidRDefault="00167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An advanced learning plan for the advanced child w</w:t>
      </w:r>
      <w:r>
        <w:rPr>
          <w:rFonts w:ascii="Comic Sans MS" w:eastAsia="Comic Sans MS" w:hAnsi="Comic Sans MS" w:cs="Comic Sans MS"/>
          <w:sz w:val="24"/>
          <w:szCs w:val="24"/>
        </w:rPr>
        <w:t xml:space="preserve">ill be developed. </w:t>
      </w:r>
    </w:p>
    <w:p w14:paraId="74875781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color w:val="000000"/>
          <w:sz w:val="24"/>
          <w:szCs w:val="24"/>
          <w:highlight w:val="yellow"/>
        </w:rPr>
      </w:pPr>
    </w:p>
    <w:p w14:paraId="0734F8FC" w14:textId="77777777" w:rsidR="00F04B5B" w:rsidRDefault="00167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Evaluation:</w:t>
      </w:r>
    </w:p>
    <w:p w14:paraId="16409E9C" w14:textId="77777777" w:rsidR="00F04B5B" w:rsidRDefault="00167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Students will be tested using local assessments to determine eligibility for advanced placement.</w:t>
      </w:r>
    </w:p>
    <w:p w14:paraId="48118FF4" w14:textId="77777777" w:rsidR="00F04B5B" w:rsidRDefault="00167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screening tool will be used by the parent and child’s current teacher if applicable.   </w:t>
      </w:r>
    </w:p>
    <w:p w14:paraId="64CC4FD7" w14:textId="77777777" w:rsidR="00F04B5B" w:rsidRDefault="00167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Information about the performance of </w:t>
      </w:r>
      <w:r>
        <w:rPr>
          <w:rFonts w:ascii="Comic Sans MS" w:eastAsia="Comic Sans MS" w:hAnsi="Comic Sans MS" w:cs="Comic Sans MS"/>
          <w:sz w:val="24"/>
          <w:szCs w:val="24"/>
        </w:rPr>
        <w:t>the child that provides evidence of a need for early access evaluation such as readiness factors, portfolios</w:t>
      </w:r>
    </w:p>
    <w:p w14:paraId="0D1FE0E5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  <w:highlight w:val="yellow"/>
        </w:rPr>
      </w:pPr>
    </w:p>
    <w:p w14:paraId="1B03795A" w14:textId="77777777" w:rsidR="00F04B5B" w:rsidRDefault="00167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Decision Making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 xml:space="preserve">    </w:t>
      </w:r>
    </w:p>
    <w:p w14:paraId="6F532219" w14:textId="77777777" w:rsidR="00F04B5B" w:rsidRDefault="00167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omic Sans MS" w:eastAsia="Comic Sans MS" w:hAnsi="Comic Sans MS" w:cs="Comic Sans MS"/>
        </w:rPr>
        <w:t xml:space="preserve">Early access will be a consensus process by the team that analyzes multiple criteria form a body of evidence resulting in a student profile of strengths and interests.  Test scores alone will not determine early access or subject level acceleration. </w:t>
      </w:r>
    </w:p>
    <w:p w14:paraId="634FFFF5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0F1B42FB" w14:textId="77777777" w:rsidR="00F04B5B" w:rsidRDefault="0016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Moni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toring Performance</w:t>
      </w:r>
    </w:p>
    <w:p w14:paraId="23E55D05" w14:textId="77777777" w:rsidR="00F04B5B" w:rsidRDefault="00167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omic Sans MS" w:eastAsia="Comic Sans MS" w:hAnsi="Comic Sans MS" w:cs="Comic Sans MS"/>
          <w:sz w:val="24"/>
          <w:szCs w:val="24"/>
        </w:rPr>
        <w:t>Student’s teacher shall monitor performance every year</w:t>
      </w:r>
    </w:p>
    <w:p w14:paraId="312E4762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77547C7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494F7A94" w14:textId="77777777" w:rsidR="00F04B5B" w:rsidRDefault="00F0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E5F14" w14:textId="77777777" w:rsidR="00F04B5B" w:rsidRDefault="00167437">
      <w:pPr>
        <w:spacing w:after="0" w:line="240" w:lineRule="auto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Determination: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  <w:t xml:space="preserve"> </w:t>
      </w:r>
    </w:p>
    <w:p w14:paraId="6D32378A" w14:textId="77777777" w:rsidR="00F04B5B" w:rsidRDefault="00167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sz w:val="24"/>
          <w:szCs w:val="24"/>
        </w:rPr>
        <w:t>Team of educators will evaluate student performance and determine if the child is a candidate for next level acceleration. A student may score at the 97th percentile or above but not have data that supports school readiness. The decision whether or not a s</w:t>
      </w:r>
      <w:r>
        <w:rPr>
          <w:rFonts w:ascii="Comic Sans MS" w:eastAsia="Comic Sans MS" w:hAnsi="Comic Sans MS" w:cs="Comic Sans MS"/>
          <w:sz w:val="24"/>
          <w:szCs w:val="24"/>
        </w:rPr>
        <w:t xml:space="preserve">tudent qualifies is up to the discretion of the education team. </w:t>
      </w:r>
    </w:p>
    <w:p w14:paraId="3A898898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949F294" w14:textId="77777777" w:rsidR="00F04B5B" w:rsidRDefault="00F04B5B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</w:p>
    <w:p w14:paraId="34EBFCEB" w14:textId="77777777" w:rsidR="00F04B5B" w:rsidRDefault="00F04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omic Sans MS" w:eastAsia="Comic Sans MS" w:hAnsi="Comic Sans MS" w:cs="Comic Sans MS"/>
          <w:sz w:val="24"/>
          <w:szCs w:val="24"/>
        </w:rPr>
      </w:pPr>
    </w:p>
    <w:sectPr w:rsidR="00F04B5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24B7" w14:textId="77777777" w:rsidR="00167437" w:rsidRDefault="00167437">
      <w:pPr>
        <w:spacing w:after="0" w:line="240" w:lineRule="auto"/>
      </w:pPr>
      <w:r>
        <w:separator/>
      </w:r>
    </w:p>
  </w:endnote>
  <w:endnote w:type="continuationSeparator" w:id="0">
    <w:p w14:paraId="67070349" w14:textId="77777777" w:rsidR="00167437" w:rsidRDefault="0016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10B7" w14:textId="77777777" w:rsidR="00167437" w:rsidRDefault="00167437">
      <w:pPr>
        <w:spacing w:after="0" w:line="240" w:lineRule="auto"/>
      </w:pPr>
      <w:r>
        <w:separator/>
      </w:r>
    </w:p>
  </w:footnote>
  <w:footnote w:type="continuationSeparator" w:id="0">
    <w:p w14:paraId="25FD8653" w14:textId="77777777" w:rsidR="00167437" w:rsidRDefault="0016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2687" w14:textId="77777777" w:rsidR="00F04B5B" w:rsidRDefault="00167437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E2EB4">
      <w:rPr>
        <w:color w:val="000000"/>
      </w:rPr>
      <w:fldChar w:fldCharType="separate"/>
    </w:r>
    <w:r w:rsidR="00BE2EB4">
      <w:rPr>
        <w:noProof/>
        <w:color w:val="000000"/>
      </w:rPr>
      <w:t>2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  <w:r>
      <w:rPr>
        <w:color w:val="808080"/>
      </w:rPr>
      <w:tab/>
    </w:r>
    <w:r>
      <w:rPr>
        <w:color w:val="808080"/>
      </w:rPr>
      <w:tab/>
      <w:t>2020-2021</w:t>
    </w:r>
  </w:p>
  <w:p w14:paraId="784A08F1" w14:textId="77777777" w:rsidR="00F04B5B" w:rsidRDefault="00F04B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1B01"/>
    <w:multiLevelType w:val="multilevel"/>
    <w:tmpl w:val="3B70BE60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90D"/>
    <w:multiLevelType w:val="multilevel"/>
    <w:tmpl w:val="C186E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351919"/>
    <w:multiLevelType w:val="multilevel"/>
    <w:tmpl w:val="274840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0A64EF"/>
    <w:multiLevelType w:val="multilevel"/>
    <w:tmpl w:val="FB3E0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5B"/>
    <w:rsid w:val="00167437"/>
    <w:rsid w:val="00BE2EB4"/>
    <w:rsid w:val="00F0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90C0"/>
  <w15:docId w15:val="{A8D0BE12-F748-4E85-9CDB-69FB9F7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ga.gov/legislation/publicacts/100/100-042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Campbell</dc:creator>
  <cp:lastModifiedBy>Marc Campbell</cp:lastModifiedBy>
  <cp:revision>2</cp:revision>
  <dcterms:created xsi:type="dcterms:W3CDTF">2020-07-23T17:50:00Z</dcterms:created>
  <dcterms:modified xsi:type="dcterms:W3CDTF">2020-07-23T17:50:00Z</dcterms:modified>
</cp:coreProperties>
</file>